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Arvika kommunfullmäktige</w:t>
      </w:r>
    </w:p>
    <w:p>
      <w:pPr>
        <w:pStyle w:val="Heading1"/>
      </w:pPr>
      <w:r>
        <w:t xml:space="preserve">Höjd lärartäthet i Arvika lågstadiet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Arvika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visar behov av fler lärare i tidiga årskurser. Ökad lärartäthet ger bättre stöd och förebygger kunskapsluckor.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Arvika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Arvika kommunfullmäktige beslutar att öka lärartätheten med 0,5 lärare per klass i årskurs 1–3.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Arvika kommunfullmäktige beslutar att avsätta 3 mnkr årligen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Arvika kommunfullmäktige beslutar att rekrytera behöriga lärare med särskilt fokus på läs- och skrivutveckling.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Arvika kommunfullmäktige beslutar att redovisa effekter i årsrapport.</w:t>
      </w:r>
    </w:p>
    <w:p>
      <w:pPr>
        <w:spacing w:before="360"/>
      </w:pPr>
    </w:p>
    <w:p>
      <w:r>
        <w:t xml:space="preserve">Arvika,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Arvika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2026-07-13T23:33:48.114Z</dcterms:created>
  <dcterms:modified xsi:type="dcterms:W3CDTF">2026-07-13T23:33:48.114Z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